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8462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8175E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593D6C9" w14:textId="243CAF5A" w:rsidR="002258C5" w:rsidRPr="00703B29" w:rsidRDefault="00E40892" w:rsidP="00E4089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 resolution</w:t>
      </w:r>
      <w:r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</w:t>
      </w:r>
      <w:r>
        <w:rPr>
          <w:sz w:val="20"/>
        </w:rPr>
        <w:t>201</w:t>
      </w:r>
      <w:r w:rsidRPr="0073090C">
        <w:rPr>
          <w:sz w:val="20"/>
        </w:rPr>
        <w:t>-</w:t>
      </w:r>
      <w:r>
        <w:rPr>
          <w:sz w:val="20"/>
        </w:rPr>
        <w:t>48</w:t>
      </w:r>
      <w:r>
        <w:rPr>
          <w:rFonts w:cs="Arial"/>
          <w:sz w:val="20"/>
        </w:rPr>
        <w:t>/12- 48u/12u</w:t>
      </w:r>
      <w:r w:rsidRPr="001C202F">
        <w:rPr>
          <w:rFonts w:cs="Arial"/>
          <w:sz w:val="20"/>
        </w:rPr>
        <w:t>)</w:t>
      </w:r>
      <w:r>
        <w:rPr>
          <w:rFonts w:cs="Arial"/>
          <w:sz w:val="20"/>
        </w:rPr>
        <w:t xml:space="preserve">           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A4799">
        <w:rPr>
          <w:rFonts w:cs="Arial"/>
          <w:sz w:val="20"/>
        </w:rPr>
        <w:t>5H4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BA479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BA4799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53A3B0A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9BC525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8AF36AF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4D1AD11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AE948AF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26D97B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Title"/>
        <w:jc w:val="both"/>
        <w:rPr>
          <w:i/>
          <w:sz w:val="18"/>
          <w:szCs w:val="18"/>
        </w:rPr>
      </w:pPr>
      <w:proofErr w:type="gramStart"/>
      <w:r w:rsidRPr="00313A7E">
        <w:rPr>
          <w:i/>
          <w:sz w:val="18"/>
          <w:szCs w:val="18"/>
        </w:rPr>
        <w:t>Interpretation:_</w:t>
      </w:r>
      <w:proofErr w:type="gramEnd"/>
      <w:r w:rsidRPr="00313A7E">
        <w:rPr>
          <w:i/>
          <w:sz w:val="18"/>
          <w:szCs w:val="18"/>
        </w:rPr>
        <w:t>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31E7C59F" w:rsidR="00A046AF" w:rsidRDefault="00F64F7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0" w:name="_GoBack"/>
      <w:r w:rsidRPr="00F64F76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 wp14:anchorId="7737355A" wp14:editId="74238277">
            <wp:simplePos x="0" y="0"/>
            <wp:positionH relativeFrom="column">
              <wp:posOffset>3241</wp:posOffset>
            </wp:positionH>
            <wp:positionV relativeFrom="paragraph">
              <wp:posOffset>3071</wp:posOffset>
            </wp:positionV>
            <wp:extent cx="5274945" cy="14668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B5469E8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0D5689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C0209EC" w14:textId="77777777" w:rsidR="006479D6" w:rsidRDefault="006479D6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079B84E9" w14:textId="77777777" w:rsidR="00DF568F" w:rsidRPr="00F65F4B" w:rsidRDefault="00DF568F" w:rsidP="00DF568F">
      <w:pPr>
        <w:ind w:right="708"/>
        <w:jc w:val="both"/>
        <w:rPr>
          <w:sz w:val="18"/>
          <w:szCs w:val="18"/>
        </w:rPr>
      </w:pPr>
      <w:r w:rsidRPr="00F65F4B">
        <w:rPr>
          <w:rFonts w:ascii="Arial" w:hAnsi="Arial"/>
          <w:sz w:val="18"/>
          <w:szCs w:val="18"/>
        </w:rPr>
        <w:t>HLA-</w:t>
      </w:r>
      <w:r w:rsidRPr="00F65F4B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7446A500" w14:textId="77777777" w:rsidR="00DF568F" w:rsidRPr="00F65F4B" w:rsidRDefault="00DF568F" w:rsidP="00DF568F">
      <w:pPr>
        <w:pStyle w:val="Caption"/>
        <w:ind w:firstLine="0"/>
        <w:rPr>
          <w:sz w:val="18"/>
        </w:rPr>
      </w:pPr>
      <w:r w:rsidRPr="00F65F4B">
        <w:rPr>
          <w:sz w:val="18"/>
        </w:rPr>
        <w:t>Primer mixes 5, 6, 8</w:t>
      </w:r>
      <w:r>
        <w:rPr>
          <w:sz w:val="18"/>
        </w:rPr>
        <w:t>, 11</w:t>
      </w:r>
      <w:r w:rsidRPr="00F65F4B">
        <w:rPr>
          <w:sz w:val="18"/>
        </w:rPr>
        <w:t xml:space="preserve"> and 12 may give a lower yield of HLA-specific PCR products than the other DQ low resolution primer mixes.</w:t>
      </w:r>
    </w:p>
    <w:p w14:paraId="5534EBD8" w14:textId="77777777" w:rsidR="00DF568F" w:rsidRPr="00F518BF" w:rsidRDefault="00DF568F" w:rsidP="00DF568F">
      <w:pPr>
        <w:pStyle w:val="PIfotnot"/>
        <w:ind w:firstLine="0"/>
        <w:rPr>
          <w:b w:val="0"/>
          <w:iCs w:val="0"/>
          <w:noProof/>
          <w:sz w:val="18"/>
          <w:vertAlign w:val="baseline"/>
        </w:rPr>
      </w:pPr>
      <w:r w:rsidRPr="00F518BF">
        <w:rPr>
          <w:rStyle w:val="PIfotnotChar"/>
          <w:noProof/>
          <w:sz w:val="18"/>
          <w:vertAlign w:val="baseline"/>
        </w:rPr>
        <w:t>Primer mix 7 may have tendencies of unspecific amplification.</w:t>
      </w:r>
    </w:p>
    <w:p w14:paraId="6A48A2D8" w14:textId="77777777" w:rsidR="00DF568F" w:rsidRPr="00F518BF" w:rsidRDefault="00DF568F" w:rsidP="00DF568F">
      <w:pPr>
        <w:pStyle w:val="PIfotnot"/>
        <w:ind w:firstLine="0"/>
        <w:rPr>
          <w:b w:val="0"/>
          <w:sz w:val="18"/>
          <w:vertAlign w:val="baseline"/>
        </w:rPr>
      </w:pPr>
      <w:r w:rsidRPr="00F518BF">
        <w:rPr>
          <w:b w:val="0"/>
          <w:sz w:val="18"/>
          <w:vertAlign w:val="baseline"/>
          <w:lang w:val="en-US"/>
        </w:rPr>
        <w:t xml:space="preserve">Primer mix 16 </w:t>
      </w:r>
      <w:proofErr w:type="gramStart"/>
      <w:r w:rsidRPr="00F518BF">
        <w:rPr>
          <w:b w:val="0"/>
          <w:sz w:val="18"/>
          <w:vertAlign w:val="baseline"/>
        </w:rPr>
        <w:t>has a tendency to</w:t>
      </w:r>
      <w:proofErr w:type="gramEnd"/>
      <w:r w:rsidRPr="00F518BF">
        <w:rPr>
          <w:b w:val="0"/>
          <w:sz w:val="18"/>
          <w:vertAlign w:val="baseline"/>
        </w:rPr>
        <w:t xml:space="preserve"> giving rise to primer oligomer formation.</w:t>
      </w:r>
    </w:p>
    <w:p w14:paraId="7F9C2F74" w14:textId="77777777" w:rsidR="00DF568F" w:rsidRPr="00F65F4B" w:rsidRDefault="00DF568F" w:rsidP="00DF568F">
      <w:pPr>
        <w:ind w:right="708"/>
        <w:jc w:val="both"/>
        <w:rPr>
          <w:rFonts w:ascii="Arial" w:hAnsi="Arial" w:cs="Arial"/>
          <w:sz w:val="18"/>
          <w:szCs w:val="18"/>
        </w:rPr>
      </w:pPr>
      <w:r w:rsidRPr="00F65F4B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DF8A49B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3F660622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5B29A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B2AA1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9CE5145" w14:textId="4E59D0F8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5B10B8E1" w14:textId="77777777" w:rsidR="008F2AEA" w:rsidRPr="006F3445" w:rsidRDefault="008F2AEA" w:rsidP="008F2AEA">
      <w:pPr>
        <w:pStyle w:val="ListParagraph"/>
        <w:numPr>
          <w:ilvl w:val="0"/>
          <w:numId w:val="7"/>
        </w:numPr>
        <w:tabs>
          <w:tab w:val="left" w:pos="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does not amplify the DQB1*03:03:06, 03:06, 03:25:01-03:25:02, and DQB1*04:03:01-04:03:03 alleles. This has been corrected in the specificity and interpretation tables.</w:t>
      </w: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0A7FA2A7" w:rsidR="009F4C89" w:rsidRDefault="008F2AEA" w:rsidP="0069143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8F2AEA">
        <w:lastRenderedPageBreak/>
        <w:drawing>
          <wp:anchor distT="0" distB="0" distL="114300" distR="114300" simplePos="0" relativeHeight="251667968" behindDoc="0" locked="0" layoutInCell="1" allowOverlap="1" wp14:anchorId="5948EE6D" wp14:editId="3817DADB">
            <wp:simplePos x="0" y="0"/>
            <wp:positionH relativeFrom="margin">
              <wp:align>right</wp:align>
            </wp:positionH>
            <wp:positionV relativeFrom="paragraph">
              <wp:posOffset>162</wp:posOffset>
            </wp:positionV>
            <wp:extent cx="6084000" cy="8280000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AE7FE" w14:textId="5C516A38" w:rsidR="0068106C" w:rsidRDefault="00195E25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95E25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 wp14:anchorId="00F5F9D0" wp14:editId="0D87B1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765" cy="66052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902A9A" w14:textId="391C822E" w:rsidR="00691435" w:rsidRPr="008A477A" w:rsidRDefault="00691435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201</w:t>
      </w:r>
      <w:r w:rsidR="00F64F76">
        <w:rPr>
          <w:rFonts w:cs="Arial"/>
          <w:spacing w:val="-3"/>
          <w:sz w:val="18"/>
          <w:szCs w:val="18"/>
        </w:rPr>
        <w:t>8</w:t>
      </w:r>
      <w:r>
        <w:rPr>
          <w:rFonts w:cs="Arial"/>
          <w:spacing w:val="-3"/>
          <w:sz w:val="18"/>
          <w:szCs w:val="18"/>
        </w:rPr>
        <w:t>-</w:t>
      </w:r>
      <w:r w:rsidR="009540C0">
        <w:rPr>
          <w:rFonts w:cs="Arial"/>
          <w:spacing w:val="-3"/>
          <w:sz w:val="18"/>
          <w:szCs w:val="18"/>
        </w:rPr>
        <w:t>October</w:t>
      </w:r>
      <w:r w:rsidR="00184F4B">
        <w:rPr>
          <w:rFonts w:cs="Arial"/>
          <w:spacing w:val="-3"/>
          <w:sz w:val="18"/>
          <w:szCs w:val="18"/>
        </w:rPr>
        <w:t>-</w:t>
      </w:r>
      <w:r w:rsidR="00F64F76">
        <w:rPr>
          <w:rFonts w:cs="Arial"/>
          <w:spacing w:val="-3"/>
          <w:sz w:val="18"/>
          <w:szCs w:val="18"/>
        </w:rPr>
        <w:t>18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9540C0">
        <w:rPr>
          <w:rFonts w:cs="Arial"/>
          <w:spacing w:val="-3"/>
          <w:sz w:val="18"/>
          <w:szCs w:val="18"/>
        </w:rPr>
        <w:t>3</w:t>
      </w:r>
      <w:r w:rsidR="00F64F76">
        <w:rPr>
          <w:rFonts w:cs="Arial"/>
          <w:spacing w:val="-3"/>
          <w:sz w:val="18"/>
          <w:szCs w:val="18"/>
        </w:rPr>
        <w:t>4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5" w:history="1">
        <w:r w:rsidRPr="008A477A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30BF2752" w14:textId="77777777" w:rsidR="00691435" w:rsidRPr="008A477A" w:rsidRDefault="00691435" w:rsidP="009540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A477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5FA845B7" w14:textId="7FBCFCFC" w:rsidR="0068106C" w:rsidRDefault="009540C0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9540C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bookmarkStart w:id="1" w:name="_Hlk5892413"/>
      <w:r w:rsidR="00195E25" w:rsidRPr="00195E25">
        <w:rPr>
          <w:rFonts w:ascii="Arial" w:hAnsi="Arial" w:cs="Arial"/>
          <w:spacing w:val="-3"/>
          <w:sz w:val="18"/>
          <w:szCs w:val="18"/>
        </w:rPr>
        <w:t>The serological split of the DQB1*05:05-05:166 alleles, the DQB1*06:06-06:07, DQB1*06:10, DQB1*06:13, DQB1*06:15-06:24 and DQB1*06:27-06:286 alleles, the DQB1*02:04-02:112 alleles, the DQB1*03:07-03:09</w:t>
      </w:r>
      <w:r w:rsidR="00D91FBC">
        <w:rPr>
          <w:rFonts w:ascii="Arial" w:hAnsi="Arial" w:cs="Arial"/>
          <w:spacing w:val="-3"/>
          <w:sz w:val="18"/>
          <w:szCs w:val="18"/>
        </w:rPr>
        <w:t xml:space="preserve"> and</w:t>
      </w:r>
      <w:r w:rsidR="00195E25" w:rsidRPr="00195E25">
        <w:rPr>
          <w:rFonts w:ascii="Arial" w:hAnsi="Arial" w:cs="Arial"/>
          <w:spacing w:val="-3"/>
          <w:sz w:val="18"/>
          <w:szCs w:val="18"/>
        </w:rPr>
        <w:t xml:space="preserve"> DQB1*03:11 to 03:298N, and the DQB1*04:03 to 04:52 alleles is not known. The grouping of not serologically defined alleles is taken from the expert-assigned serological grouping in Tissue Antigens (2009) 73:95-170</w:t>
      </w:r>
      <w:bookmarkEnd w:id="1"/>
      <w:r w:rsidR="00195E25" w:rsidRPr="00195E25">
        <w:rPr>
          <w:rFonts w:ascii="Arial" w:hAnsi="Arial" w:cs="Arial"/>
          <w:spacing w:val="-3"/>
          <w:sz w:val="18"/>
          <w:szCs w:val="18"/>
        </w:rPr>
        <w:t>.</w:t>
      </w:r>
    </w:p>
    <w:p w14:paraId="41C1C26C" w14:textId="77777777" w:rsidR="00195E25" w:rsidRDefault="00195E25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558765EE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‘w’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41BBA5E4" w:rsidR="00814497" w:rsidRPr="005627C8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 w:rsidRPr="002712B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814497" w:rsidRPr="005627C8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7BC4" w14:textId="77777777" w:rsidR="008F2AEA" w:rsidRPr="00060351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10B1B" w14:textId="77777777" w:rsidR="008F2AEA" w:rsidRPr="00E61910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2740337" w14:textId="77777777" w:rsidR="008F2AEA" w:rsidRPr="00AA240A" w:rsidRDefault="008F2AEA" w:rsidP="008F2AE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9B39AB9" w14:textId="7B9E0083" w:rsidR="00835452" w:rsidRPr="00A6082E" w:rsidRDefault="008F2AEA" w:rsidP="008F2AE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4AE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F152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43C38" w14:textId="0CED855D" w:rsidR="00835452" w:rsidRPr="00D01302" w:rsidRDefault="00BA4799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A5363B" wp14:editId="172FF928">
              <wp:simplePos x="0" y="0"/>
              <wp:positionH relativeFrom="margin">
                <wp:align>right</wp:align>
              </wp:positionH>
              <wp:positionV relativeFrom="paragraph">
                <wp:posOffset>778</wp:posOffset>
              </wp:positionV>
              <wp:extent cx="1952065" cy="495300"/>
              <wp:effectExtent l="0" t="0" r="1016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0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5434" w14:textId="3DF26785" w:rsidR="00835452" w:rsidRPr="00BA4799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A4799" w:rsidRPr="00BA479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536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5pt;margin-top:.05pt;width:15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">
              <v:textbox style="mso-fit-shape-to-text:t">
                <w:txbxContent>
                  <w:p w14:paraId="5CBB5434" w14:textId="3DF26785" w:rsidR="00835452" w:rsidRPr="00BA4799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A4799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2682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0BD3EE5" wp14:editId="5722C930">
          <wp:simplePos x="0" y="0"/>
          <wp:positionH relativeFrom="column">
            <wp:posOffset>-147596</wp:posOffset>
          </wp:positionH>
          <wp:positionV relativeFrom="paragraph">
            <wp:posOffset>-108309</wp:posOffset>
          </wp:positionV>
          <wp:extent cx="1742782" cy="237821"/>
          <wp:effectExtent l="0" t="0" r="0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50" cy="2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7E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D29E6" wp14:editId="6043BEF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C1BB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D29E6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304DC1BB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9268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E40892">
      <w:rPr>
        <w:rFonts w:ascii="Arial" w:hAnsi="Arial" w:cs="Arial"/>
        <w:b/>
        <w:sz w:val="20"/>
        <w:szCs w:val="20"/>
      </w:rPr>
      <w:t>DQ low resolution</w:t>
    </w:r>
  </w:p>
  <w:p w14:paraId="6946FC8B" w14:textId="3DD95EE8" w:rsidR="00835452" w:rsidRPr="005F2147" w:rsidRDefault="008F2AEA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14:paraId="63535648" w14:textId="3716BFA0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F2AEA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A4799">
      <w:rPr>
        <w:rFonts w:ascii="Arial" w:hAnsi="Arial" w:cs="Arial"/>
        <w:b/>
        <w:sz w:val="20"/>
        <w:szCs w:val="20"/>
      </w:rPr>
      <w:t>5H4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B7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BD71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707A"/>
    <w:rsid w:val="002D73C8"/>
    <w:rsid w:val="002E0F71"/>
    <w:rsid w:val="002E27ED"/>
    <w:rsid w:val="002E4319"/>
    <w:rsid w:val="002F3F1E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872EB"/>
    <w:rsid w:val="00891CFF"/>
    <w:rsid w:val="008B674C"/>
    <w:rsid w:val="008C3A0F"/>
    <w:rsid w:val="008F055B"/>
    <w:rsid w:val="008F2AEA"/>
    <w:rsid w:val="00915467"/>
    <w:rsid w:val="00920DB9"/>
    <w:rsid w:val="009240C2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FBC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CEA6-585D-4F44-BCCF-FCAA8BC3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2783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2019-04-11T14:36:00Z</cp:lastPrinted>
  <dcterms:created xsi:type="dcterms:W3CDTF">2020-01-23T12:31:00Z</dcterms:created>
  <dcterms:modified xsi:type="dcterms:W3CDTF">2020-01-23T12:31:00Z</dcterms:modified>
</cp:coreProperties>
</file>